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keepNext w:val="0"/>
        <w:keepLines w:val="0"/>
        <w:spacing w:after="0" w:before="0" w:line="240" w:lineRule="auto"/>
        <w:jc w:val="center"/>
        <w:rPr>
          <w:rFonts w:ascii="Times New Roman" w:cs="Times New Roman" w:eastAsia="Times New Roman" w:hAnsi="Times New Roman"/>
          <w:b w:val="1"/>
          <w:color w:val="000000"/>
          <w:sz w:val="24"/>
          <w:szCs w:val="24"/>
        </w:rPr>
      </w:pPr>
      <w:bookmarkStart w:colFirst="0" w:colLast="0" w:name="_mvxcypvt6lui" w:id="0"/>
      <w:bookmarkEnd w:id="0"/>
      <w:r w:rsidDel="00000000" w:rsidR="00000000" w:rsidRPr="00000000">
        <w:rPr>
          <w:rFonts w:ascii="Times New Roman" w:cs="Times New Roman" w:eastAsia="Times New Roman" w:hAnsi="Times New Roman"/>
          <w:b w:val="1"/>
          <w:color w:val="000000"/>
          <w:sz w:val="24"/>
          <w:szCs w:val="24"/>
          <w:rtl w:val="0"/>
        </w:rPr>
        <w:t xml:space="preserve">TITLE: Bold, Times New Roman, 12 Pt., flush left</w:t>
      </w:r>
    </w:p>
    <w:p w:rsidR="00000000" w:rsidDel="00000000" w:rsidP="00000000" w:rsidRDefault="00000000" w:rsidRPr="00000000" w14:paraId="00000002">
      <w:pPr>
        <w:pStyle w:val="Heading1"/>
        <w:keepNext w:val="0"/>
        <w:keepLines w:val="0"/>
        <w:spacing w:after="0" w:before="0" w:line="240" w:lineRule="auto"/>
        <w:jc w:val="center"/>
        <w:rPr>
          <w:rFonts w:ascii="Times New Roman" w:cs="Times New Roman" w:eastAsia="Times New Roman" w:hAnsi="Times New Roman"/>
          <w:b w:val="1"/>
          <w:vertAlign w:val="superscript"/>
        </w:rPr>
      </w:pPr>
      <w:bookmarkStart w:colFirst="0" w:colLast="0" w:name="_pipzdb4f3pwh" w:id="1"/>
      <w:bookmarkEnd w:id="1"/>
      <w:r w:rsidDel="00000000" w:rsidR="00000000" w:rsidRPr="00000000">
        <w:rPr>
          <w:rFonts w:ascii="Times New Roman" w:cs="Times New Roman" w:eastAsia="Times New Roman" w:hAnsi="Times New Roman"/>
          <w:b w:val="1"/>
          <w:sz w:val="24"/>
          <w:szCs w:val="24"/>
          <w:u w:val="single"/>
          <w:rtl w:val="0"/>
        </w:rPr>
        <w:t xml:space="preserve">Yi-Cheng Chen</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vertAlign w:val="superscript"/>
          <w:rtl w:val="0"/>
        </w:rPr>
        <w:t xml:space="preserve">†</w:t>
      </w:r>
      <w:r w:rsidDel="00000000" w:rsidR="00000000" w:rsidRPr="00000000">
        <w:rPr>
          <w:rFonts w:ascii="Times New Roman" w:cs="Times New Roman" w:eastAsia="Times New Roman" w:hAnsi="Times New Roman"/>
          <w:b w:val="1"/>
          <w:sz w:val="24"/>
          <w:szCs w:val="24"/>
          <w:rtl w:val="0"/>
        </w:rPr>
        <w:t xml:space="preserve">, Ying-Hao Chu</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vertAlign w:val="superscript"/>
          <w:rtl w:val="0"/>
        </w:rPr>
        <w:t xml:space="preserve">*</w:t>
      </w:r>
    </w:p>
    <w:p w:rsidR="00000000" w:rsidDel="00000000" w:rsidP="00000000" w:rsidRDefault="00000000" w:rsidRPr="00000000" w14:paraId="00000003">
      <w:pPr>
        <w:spacing w:after="0" w:before="0" w:line="240" w:lineRule="auto"/>
        <w:rPr>
          <w:rFonts w:ascii="Times New Roman" w:cs="Times New Roman" w:eastAsia="Times New Roman" w:hAnsi="Times New Roman"/>
          <w:b w:val="1"/>
          <w:sz w:val="34"/>
          <w:szCs w:val="34"/>
          <w:vertAlign w:val="superscript"/>
        </w:rPr>
      </w:pPr>
      <w:r w:rsidDel="00000000" w:rsidR="00000000" w:rsidRPr="00000000">
        <w:rPr>
          <w:rFonts w:ascii="Times New Roman" w:cs="Times New Roman" w:eastAsia="Times New Roman" w:hAnsi="Times New Roman"/>
          <w:b w:val="1"/>
          <w:sz w:val="34"/>
          <w:szCs w:val="34"/>
          <w:vertAlign w:val="superscript"/>
          <w:rtl w:val="0"/>
        </w:rPr>
        <w:t xml:space="preserve"> </w:t>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34"/>
          <w:szCs w:val="34"/>
          <w:vertAlign w:val="superscript"/>
          <w:rtl w:val="0"/>
        </w:rPr>
        <w:t xml:space="preserve">1</w:t>
      </w:r>
      <w:r w:rsidDel="00000000" w:rsidR="00000000" w:rsidRPr="00000000">
        <w:rPr>
          <w:rFonts w:ascii="Times New Roman" w:cs="Times New Roman" w:eastAsia="Times New Roman" w:hAnsi="Times New Roman"/>
          <w:b w:val="1"/>
          <w:sz w:val="20"/>
          <w:szCs w:val="20"/>
          <w:rtl w:val="0"/>
        </w:rPr>
        <w:t xml:space="preserve">First author affiliation, city, country (bold, Times New Roman, 10 Pt., flush left)</w:t>
      </w:r>
    </w:p>
    <w:p w:rsidR="00000000" w:rsidDel="00000000" w:rsidP="00000000" w:rsidRDefault="00000000" w:rsidRPr="00000000" w14:paraId="00000005">
      <w:pPr>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34"/>
          <w:szCs w:val="34"/>
          <w:vertAlign w:val="superscript"/>
          <w:rtl w:val="0"/>
        </w:rPr>
        <w:t xml:space="preserve">2</w:t>
      </w:r>
      <w:r w:rsidDel="00000000" w:rsidR="00000000" w:rsidRPr="00000000">
        <w:rPr>
          <w:rFonts w:ascii="Times New Roman" w:cs="Times New Roman" w:eastAsia="Times New Roman" w:hAnsi="Times New Roman"/>
          <w:b w:val="1"/>
          <w:sz w:val="20"/>
          <w:szCs w:val="20"/>
          <w:rtl w:val="0"/>
        </w:rPr>
        <w:t xml:space="preserve">Second author affiliation, city, country</w:t>
      </w:r>
    </w:p>
    <w:p w:rsidR="00000000" w:rsidDel="00000000" w:rsidP="00000000" w:rsidRDefault="00000000" w:rsidRPr="00000000" w14:paraId="0000000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34"/>
          <w:szCs w:val="34"/>
          <w:vertAlign w:val="superscript"/>
          <w:rtl w:val="0"/>
        </w:rPr>
        <w:t xml:space="preserve">†</w:t>
      </w:r>
      <w:r w:rsidDel="00000000" w:rsidR="00000000" w:rsidRPr="00000000">
        <w:rPr>
          <w:rFonts w:ascii="Times New Roman" w:cs="Times New Roman" w:eastAsia="Times New Roman" w:hAnsi="Times New Roman"/>
          <w:sz w:val="20"/>
          <w:szCs w:val="20"/>
          <w:rtl w:val="0"/>
        </w:rPr>
        <w:t xml:space="preserve">Presenter</w:t>
      </w:r>
    </w:p>
    <w:p w:rsidR="00000000" w:rsidDel="00000000" w:rsidP="00000000" w:rsidRDefault="00000000" w:rsidRPr="00000000" w14:paraId="00000008">
      <w:pPr>
        <w:spacing w:after="0" w:before="0" w:line="240" w:lineRule="auto"/>
        <w:jc w:val="center"/>
        <w:rPr>
          <w:rFonts w:ascii="Times New Roman" w:cs="Times New Roman" w:eastAsia="Times New Roman" w:hAnsi="Times New Roman"/>
          <w:i w:val="1"/>
          <w:color w:val="0000cc"/>
          <w:sz w:val="20"/>
          <w:szCs w:val="20"/>
          <w:u w:val="single"/>
        </w:rPr>
      </w:pPr>
      <w:r w:rsidDel="00000000" w:rsidR="00000000" w:rsidRPr="00000000">
        <w:rPr>
          <w:rFonts w:ascii="Times New Roman" w:cs="Times New Roman" w:eastAsia="Times New Roman" w:hAnsi="Times New Roman"/>
          <w:sz w:val="34"/>
          <w:szCs w:val="34"/>
          <w:vertAlign w:val="superscript"/>
          <w:rtl w:val="0"/>
        </w:rPr>
        <w:t xml:space="preserve">*</w:t>
      </w:r>
      <w:r w:rsidDel="00000000" w:rsidR="00000000" w:rsidRPr="00000000">
        <w:rPr>
          <w:rFonts w:ascii="Times New Roman" w:cs="Times New Roman" w:eastAsia="Times New Roman" w:hAnsi="Times New Roman"/>
          <w:sz w:val="20"/>
          <w:szCs w:val="20"/>
          <w:rtl w:val="0"/>
        </w:rPr>
        <w:t xml:space="preserve">Corresponding author’s e-mail:</w:t>
      </w:r>
      <w:r w:rsidDel="00000000" w:rsidR="00000000" w:rsidRPr="00000000">
        <w:rPr>
          <w:rFonts w:ascii="Times New Roman" w:cs="Times New Roman" w:eastAsia="Times New Roman" w:hAnsi="Times New Roman"/>
          <w:i w:val="1"/>
          <w:color w:val="0000cc"/>
          <w:sz w:val="20"/>
          <w:szCs w:val="20"/>
          <w:u w:val="single"/>
          <w:rtl w:val="0"/>
        </w:rPr>
        <w:t xml:space="preserve">taiwanvacuum.tvs@taiwanvacuum.org</w:t>
      </w:r>
    </w:p>
    <w:p w:rsidR="00000000" w:rsidDel="00000000" w:rsidP="00000000" w:rsidRDefault="00000000" w:rsidRPr="00000000" w14:paraId="00000009">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A">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Abstract here. Character fonts and dimensions must be as in the present template of MS Word format, as Time New Roman, 12 points/inch, single line spacing, left and right justified. Page format is A4 size with 2.5 cm margins at each side. The presenter’s name is to be underlined on the author list above. Authors are required to submit a one-page abstract in English with a maximum length of 300 words. The abstract file size should not exceed 2 MB and must be submitted via the Conference website, </w:t>
      </w:r>
      <w:hyperlink r:id="rId6">
        <w:r w:rsidDel="00000000" w:rsidR="00000000" w:rsidRPr="00000000">
          <w:rPr>
            <w:rFonts w:ascii="Times New Roman" w:cs="Times New Roman" w:eastAsia="Times New Roman" w:hAnsi="Times New Roman"/>
            <w:color w:val="1155cc"/>
            <w:sz w:val="24"/>
            <w:szCs w:val="24"/>
            <w:u w:val="single"/>
            <w:rtl w:val="0"/>
          </w:rPr>
          <w:t xml:space="preserve">VASSCAA-12</w:t>
        </w:r>
      </w:hyperlink>
      <w:r w:rsidDel="00000000" w:rsidR="00000000" w:rsidRPr="00000000">
        <w:rPr>
          <w:rFonts w:ascii="Times New Roman" w:cs="Times New Roman" w:eastAsia="Times New Roman" w:hAnsi="Times New Roman"/>
          <w:sz w:val="24"/>
          <w:szCs w:val="24"/>
          <w:rtl w:val="0"/>
        </w:rPr>
        <w:t xml:space="preserve">. The due date for the abstract submission is June 01, 2024.</w:t>
      </w:r>
    </w:p>
    <w:p w:rsidR="00000000" w:rsidDel="00000000" w:rsidP="00000000" w:rsidRDefault="00000000" w:rsidRPr="00000000" w14:paraId="0000000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conference will be held on Oct. 14-17, 2024, at the Taipei International Convention Center (TICC), Taipei, Taiwan. For any questions, please contact  </w:t>
      </w:r>
      <w:hyperlink r:id="rId7">
        <w:r w:rsidDel="00000000" w:rsidR="00000000" w:rsidRPr="00000000">
          <w:rPr>
            <w:rFonts w:ascii="Times New Roman" w:cs="Times New Roman" w:eastAsia="Times New Roman" w:hAnsi="Times New Roman"/>
            <w:color w:val="1155cc"/>
            <w:sz w:val="24"/>
            <w:szCs w:val="24"/>
            <w:u w:val="single"/>
            <w:rtl w:val="0"/>
          </w:rPr>
          <w:t xml:space="preserve">taiwanvacuum.tvs@taiwanvacuum.org</w:t>
        </w:r>
      </w:hyperlink>
      <w:r w:rsidDel="00000000" w:rsidR="00000000" w:rsidRPr="00000000">
        <w:rPr>
          <w:rtl w:val="0"/>
        </w:rPr>
      </w:r>
    </w:p>
    <w:p w:rsidR="00000000" w:rsidDel="00000000" w:rsidP="00000000" w:rsidRDefault="00000000" w:rsidRPr="00000000" w14:paraId="0000000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(Maximum of 5 keywords)</w:t>
      </w:r>
    </w:p>
    <w:p w:rsidR="00000000" w:rsidDel="00000000" w:rsidP="00000000" w:rsidRDefault="00000000" w:rsidRPr="00000000" w14:paraId="00000010">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sz w:val="24"/>
          <w:szCs w:val="24"/>
        </w:rPr>
        <w:sectPr>
          <w:headerReference r:id="rId8" w:type="default"/>
          <w:headerReference r:id="rId9" w:type="first"/>
          <w:footerReference r:id="rId10" w:type="first"/>
          <w:pgSz w:h="16834" w:w="11909" w:orient="portrait"/>
          <w:pgMar w:bottom="1440" w:top="1440" w:left="1440" w:right="1399.1338582677172" w:header="720" w:footer="720"/>
          <w:pgNumType w:start="1"/>
          <w:titlePg w:val="1"/>
        </w:sectPr>
      </w:pPr>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925873" cy="117338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925873" cy="117338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The logo of </w:t>
      </w:r>
      <w:r w:rsidDel="00000000" w:rsidR="00000000" w:rsidRPr="00000000">
        <w:rPr>
          <w:rFonts w:ascii="Times New Roman" w:cs="Times New Roman" w:eastAsia="Times New Roman" w:hAnsi="Times New Roman"/>
          <w:sz w:val="24"/>
          <w:szCs w:val="24"/>
          <w:rtl w:val="0"/>
        </w:rPr>
        <w:t xml:space="preserve">VASSCAA-12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1"/>
        <w:tblW w:w="41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0"/>
        <w:gridCol w:w="1920"/>
        <w:tblGridChange w:id="0">
          <w:tblGrid>
            <w:gridCol w:w="2240"/>
            <w:gridCol w:w="1920"/>
          </w:tblGrid>
        </w:tblGridChange>
      </w:tblGrid>
      <w:tr>
        <w:trPr>
          <w:cantSplit w:val="0"/>
          <w:trHeight w:val="770.9765625" w:hRule="atLeast"/>
          <w:tblHeader w:val="0"/>
        </w:trPr>
        <w:tc>
          <w:tcPr>
            <w:tcBorders>
              <w:top w:color="000000" w:space="0" w:sz="8" w:val="single"/>
              <w:left w:color="000000" w:space="0" w:sz="0" w:val="nil"/>
              <w:bottom w:color="000000" w:space="0" w:sz="11"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9">
            <w:pPr>
              <w:widowControl w:val="0"/>
              <w:spacing w:after="240" w:before="240" w:line="24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tc>
        <w:tc>
          <w:tcPr>
            <w:tcBorders>
              <w:top w:color="000000" w:space="0" w:sz="8" w:val="single"/>
              <w:left w:color="000000" w:space="0" w:sz="0" w:val="nil"/>
              <w:bottom w:color="000000" w:space="0" w:sz="11"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A">
            <w:pPr>
              <w:widowControl w:val="0"/>
              <w:spacing w:after="240" w:before="240" w:line="24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w:t>
            </w:r>
          </w:p>
        </w:tc>
      </w:tr>
      <w:tr>
        <w:trPr>
          <w:cantSplit w:val="0"/>
          <w:trHeight w:val="110.9765625" w:hRule="atLeast"/>
          <w:tblHeader w:val="0"/>
        </w:trPr>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B">
            <w:pPr>
              <w:widowControl w:val="0"/>
              <w:spacing w:after="240" w:before="240" w:line="24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Opening of Abstract Submission</w:t>
            </w:r>
          </w:p>
        </w:tc>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C">
            <w:pPr>
              <w:widowControl w:val="0"/>
              <w:spacing w:after="240" w:before="240" w:line="24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01, 2023</w:t>
            </w:r>
          </w:p>
        </w:tc>
      </w:tr>
      <w:tr>
        <w:trPr>
          <w:cantSplit w:val="0"/>
          <w:tblHeader w:val="0"/>
        </w:trPr>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D">
            <w:pPr>
              <w:widowControl w:val="0"/>
              <w:spacing w:after="240" w:before="240" w:line="24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 Submission Deadline</w:t>
            </w:r>
          </w:p>
        </w:tc>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E">
            <w:pPr>
              <w:widowControl w:val="0"/>
              <w:spacing w:after="240" w:before="240" w:line="24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 01, 2024</w:t>
            </w:r>
          </w:p>
        </w:tc>
      </w:tr>
    </w:tbl>
    <w:p w:rsidR="00000000" w:rsidDel="00000000" w:rsidP="00000000" w:rsidRDefault="00000000" w:rsidRPr="00000000" w14:paraId="0000001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jc w:val="center"/>
        <w:rPr>
          <w:rFonts w:ascii="Times New Roman" w:cs="Times New Roman" w:eastAsia="Times New Roman" w:hAnsi="Times New Roman"/>
          <w:sz w:val="24"/>
          <w:szCs w:val="24"/>
        </w:rPr>
        <w:sectPr>
          <w:type w:val="continuous"/>
          <w:pgSz w:h="16834" w:w="11909" w:orient="portrait"/>
          <w:pgMar w:bottom="1440" w:top="1440" w:left="1440" w:right="1399.1338582677172" w:header="720" w:footer="720"/>
          <w:cols w:equalWidth="0" w:num="2">
            <w:col w:space="720" w:w="4173.18"/>
            <w:col w:space="0" w:w="4173.18"/>
          </w:cols>
        </w:sectPr>
      </w:pPr>
      <w:r w:rsidDel="00000000" w:rsidR="00000000" w:rsidRPr="00000000">
        <w:rPr>
          <w:rFonts w:ascii="Times New Roman" w:cs="Times New Roman" w:eastAsia="Times New Roman" w:hAnsi="Times New Roman"/>
          <w:sz w:val="24"/>
          <w:szCs w:val="24"/>
          <w:rtl w:val="0"/>
        </w:rPr>
        <w:t xml:space="preserve">Table 1. Important dates.</w:t>
      </w:r>
    </w:p>
    <w:p w:rsidR="00000000" w:rsidDel="00000000" w:rsidP="00000000" w:rsidRDefault="00000000" w:rsidRPr="00000000" w14:paraId="00000021">
      <w:pPr>
        <w:spacing w:after="0" w:before="0" w:line="240" w:lineRule="auto"/>
        <w:jc w:val="both"/>
        <w:rPr>
          <w:rFonts w:ascii="Times New Roman" w:cs="Times New Roman" w:eastAsia="Times New Roman" w:hAnsi="Times New Roman"/>
          <w:sz w:val="24"/>
          <w:szCs w:val="24"/>
        </w:rPr>
        <w:sectPr>
          <w:type w:val="continuous"/>
          <w:pgSz w:h="16834" w:w="11909" w:orient="portrait"/>
          <w:pgMar w:bottom="1440" w:top="1440" w:left="1440" w:right="1399.1338582677172" w:header="720" w:footer="720"/>
          <w:cols w:equalWidth="0" w:num="2">
            <w:col w:space="720" w:w="4173.18"/>
            <w:col w:space="0" w:w="4173.18"/>
          </w:cols>
        </w:sectPr>
      </w:pPr>
      <w:r w:rsidDel="00000000" w:rsidR="00000000" w:rsidRPr="00000000">
        <w:rPr>
          <w:rtl w:val="0"/>
        </w:rPr>
      </w:r>
    </w:p>
    <w:p w:rsidR="00000000" w:rsidDel="00000000" w:rsidP="00000000" w:rsidRDefault="00000000" w:rsidRPr="00000000" w14:paraId="0000002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24">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Authors, Journal name, Volume (Year) Pages (Times New Roman, 10 Pt., flush left).</w:t>
      </w:r>
    </w:p>
    <w:p w:rsidR="00000000" w:rsidDel="00000000" w:rsidP="00000000" w:rsidRDefault="00000000" w:rsidRPr="00000000" w14:paraId="00000025">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 S. Jeon, J. G. Kim, Y. J. Kim, J. G. Han, Thin Solid Films, 516 (2008) 3669-3672.</w:t>
      </w:r>
    </w:p>
    <w:p w:rsidR="00000000" w:rsidDel="00000000" w:rsidP="00000000" w:rsidRDefault="00000000" w:rsidRPr="00000000" w14:paraId="00000026">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20"/>
          <w:szCs w:val="20"/>
          <w:rtl w:val="0"/>
        </w:rPr>
        <w:t xml:space="preserve">D. Kolacyak, J. Ihde, U. Lommatzsch, Surf. Coat. Technol., 205 (2011) S605-S608.</w:t>
      </w:r>
    </w:p>
    <w:p w:rsidR="00000000" w:rsidDel="00000000" w:rsidP="00000000" w:rsidRDefault="00000000" w:rsidRPr="00000000" w14:paraId="00000027">
      <w:pPr>
        <w:spacing w:after="0" w:before="0" w:line="24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type w:val="continuous"/>
      <w:pgSz w:h="16834" w:w="11909" w:orient="portrait"/>
      <w:pgMar w:bottom="1440" w:top="1440" w:left="1440" w:right="1399.133858267717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right"/>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20"/>
        <w:szCs w:val="20"/>
        <w:rtl w:val="0"/>
      </w:rPr>
      <w:t xml:space="preserve">VASSCAA-12 International Vacuum and Surface Science Conference</w:t>
    </w:r>
    <w:r w:rsidDel="00000000" w:rsidR="00000000" w:rsidRPr="00000000">
      <w:rPr>
        <w:rtl w:val="0"/>
      </w:rPr>
    </w:r>
  </w:p>
  <w:p w:rsidR="00000000" w:rsidDel="00000000" w:rsidP="00000000" w:rsidRDefault="00000000" w:rsidRPr="00000000" w14:paraId="0000002A">
    <w:pPr>
      <w:jc w:val="right"/>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20"/>
        <w:szCs w:val="20"/>
        <w:rtl w:val="0"/>
      </w:rPr>
      <w:t xml:space="preserve">October 14-17, 2024, Taipei International Convention Center (TICC), Taipei, Taiwan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taiwanvacuum.org/vasscaa-12/" TargetMode="External"/><Relationship Id="rId7" Type="http://schemas.openxmlformats.org/officeDocument/2006/relationships/hyperlink" Target="mailto:taiwanvacuum.tvs@taiwanvacuum.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